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0A25" w:rsidRPr="001531E1" w:rsidRDefault="00680A25" w:rsidP="00B04AE7">
      <w:pPr>
        <w:spacing w:after="0" w:line="240" w:lineRule="auto"/>
        <w:jc w:val="both"/>
        <w:rPr>
          <w:b/>
          <w:sz w:val="24"/>
          <w:szCs w:val="24"/>
        </w:rPr>
      </w:pPr>
      <w:bookmarkStart w:id="0" w:name="_GoBack"/>
      <w:bookmarkEnd w:id="0"/>
      <w:r w:rsidRPr="001531E1">
        <w:rPr>
          <w:b/>
          <w:sz w:val="24"/>
          <w:szCs w:val="24"/>
        </w:rPr>
        <w:t>Moderadora: Licda. Sonia Vivas, Subdirectora de Ciudadanía y Consumo.</w:t>
      </w:r>
    </w:p>
    <w:p w:rsidR="001531E1" w:rsidRDefault="001531E1" w:rsidP="00B04AE7">
      <w:pPr>
        <w:spacing w:after="0" w:line="240" w:lineRule="auto"/>
        <w:jc w:val="both"/>
        <w:rPr>
          <w:b/>
          <w:sz w:val="24"/>
          <w:szCs w:val="24"/>
        </w:rPr>
      </w:pPr>
      <w:r w:rsidRPr="0010477E">
        <w:rPr>
          <w:b/>
          <w:sz w:val="24"/>
          <w:szCs w:val="24"/>
        </w:rPr>
        <w:t xml:space="preserve">Intérprete de lenguaje de señas: </w:t>
      </w:r>
      <w:r w:rsidRPr="00BB231C">
        <w:rPr>
          <w:b/>
          <w:sz w:val="24"/>
          <w:szCs w:val="24"/>
        </w:rPr>
        <w:t>Sara Abigail Bonilla Martínez</w:t>
      </w:r>
      <w:r>
        <w:rPr>
          <w:b/>
          <w:sz w:val="24"/>
          <w:szCs w:val="24"/>
        </w:rPr>
        <w:t>.</w:t>
      </w:r>
    </w:p>
    <w:p w:rsidR="00600240" w:rsidRPr="0010477E" w:rsidRDefault="00600240" w:rsidP="00600240">
      <w:pPr>
        <w:spacing w:after="0" w:line="240" w:lineRule="auto"/>
        <w:jc w:val="both"/>
        <w:rPr>
          <w:b/>
          <w:sz w:val="24"/>
          <w:szCs w:val="24"/>
        </w:rPr>
      </w:pPr>
      <w:r>
        <w:rPr>
          <w:b/>
          <w:sz w:val="24"/>
          <w:szCs w:val="24"/>
        </w:rPr>
        <w:t>Responde señor Presidente de la Defensoría del Consumidor, Licenciado Ricardo Salazar.</w:t>
      </w:r>
    </w:p>
    <w:p w:rsidR="001531E1" w:rsidRDefault="001531E1" w:rsidP="00B04AE7">
      <w:pPr>
        <w:spacing w:after="0" w:line="240" w:lineRule="auto"/>
        <w:jc w:val="both"/>
      </w:pPr>
    </w:p>
    <w:p w:rsidR="001531E1" w:rsidRPr="0010477E" w:rsidRDefault="001531E1" w:rsidP="00B04AE7">
      <w:pPr>
        <w:pBdr>
          <w:top w:val="dotDotDash" w:sz="4" w:space="1" w:color="auto"/>
          <w:left w:val="dotDotDash" w:sz="4" w:space="4" w:color="auto"/>
          <w:bottom w:val="dotDotDash" w:sz="4" w:space="1" w:color="auto"/>
          <w:right w:val="dotDotDash" w:sz="4" w:space="4" w:color="auto"/>
        </w:pBdr>
        <w:shd w:val="clear" w:color="auto" w:fill="002060"/>
        <w:spacing w:after="0" w:line="240" w:lineRule="auto"/>
        <w:jc w:val="center"/>
        <w:rPr>
          <w:b/>
          <w:sz w:val="28"/>
          <w:szCs w:val="24"/>
        </w:rPr>
      </w:pPr>
      <w:r w:rsidRPr="0010477E">
        <w:rPr>
          <w:b/>
          <w:sz w:val="28"/>
          <w:szCs w:val="24"/>
        </w:rPr>
        <w:t>Apertura del espacio de Participación Ciudadana:</w:t>
      </w:r>
    </w:p>
    <w:p w:rsidR="001531E1" w:rsidRDefault="001531E1" w:rsidP="00B04AE7">
      <w:pPr>
        <w:spacing w:after="0" w:line="240" w:lineRule="auto"/>
        <w:jc w:val="both"/>
        <w:rPr>
          <w:b/>
        </w:rPr>
      </w:pPr>
    </w:p>
    <w:p w:rsidR="00807F1C" w:rsidRPr="001531E1" w:rsidRDefault="00807F1C" w:rsidP="00B04AE7">
      <w:pPr>
        <w:spacing w:after="0" w:line="240" w:lineRule="auto"/>
        <w:jc w:val="both"/>
        <w:rPr>
          <w:b/>
          <w:color w:val="FFFFFF" w:themeColor="background1"/>
        </w:rPr>
      </w:pPr>
      <w:r w:rsidRPr="001531E1">
        <w:rPr>
          <w:b/>
          <w:color w:val="FFFFFF" w:themeColor="background1"/>
          <w:highlight w:val="blue"/>
        </w:rPr>
        <w:t>Primer bloque de</w:t>
      </w:r>
      <w:r w:rsidR="00857289" w:rsidRPr="001531E1">
        <w:rPr>
          <w:b/>
          <w:color w:val="FFFFFF" w:themeColor="background1"/>
          <w:highlight w:val="blue"/>
        </w:rPr>
        <w:t xml:space="preserve"> </w:t>
      </w:r>
      <w:r w:rsidR="001531E1">
        <w:rPr>
          <w:b/>
          <w:color w:val="FFFFFF" w:themeColor="background1"/>
          <w:highlight w:val="blue"/>
        </w:rPr>
        <w:t>aportes</w:t>
      </w:r>
      <w:r w:rsidR="00857289" w:rsidRPr="001531E1">
        <w:rPr>
          <w:b/>
          <w:color w:val="FFFFFF" w:themeColor="background1"/>
          <w:highlight w:val="blue"/>
        </w:rPr>
        <w:t xml:space="preserve"> (</w:t>
      </w:r>
      <w:r w:rsidRPr="001531E1">
        <w:rPr>
          <w:b/>
          <w:color w:val="FFFFFF" w:themeColor="background1"/>
          <w:highlight w:val="blue"/>
        </w:rPr>
        <w:t>intervenciones verbales</w:t>
      </w:r>
      <w:r w:rsidR="00857289" w:rsidRPr="001531E1">
        <w:rPr>
          <w:b/>
          <w:color w:val="FFFFFF" w:themeColor="background1"/>
          <w:highlight w:val="blue"/>
        </w:rPr>
        <w:t>)</w:t>
      </w:r>
      <w:r w:rsidRPr="001531E1">
        <w:rPr>
          <w:b/>
          <w:color w:val="FFFFFF" w:themeColor="background1"/>
          <w:highlight w:val="blue"/>
        </w:rPr>
        <w:t>:</w:t>
      </w:r>
    </w:p>
    <w:p w:rsidR="00B04AE7" w:rsidRDefault="00B04AE7" w:rsidP="00B04AE7">
      <w:pPr>
        <w:spacing w:after="0" w:line="240" w:lineRule="auto"/>
        <w:jc w:val="both"/>
        <w:rPr>
          <w:b/>
        </w:rPr>
      </w:pPr>
    </w:p>
    <w:p w:rsidR="00592E7E" w:rsidRDefault="00592E7E" w:rsidP="00B04AE7">
      <w:pPr>
        <w:spacing w:after="0" w:line="240" w:lineRule="auto"/>
        <w:jc w:val="both"/>
        <w:rPr>
          <w:b/>
        </w:rPr>
      </w:pPr>
      <w:r>
        <w:rPr>
          <w:b/>
        </w:rPr>
        <w:t xml:space="preserve">1-Hombre anónimo: </w:t>
      </w:r>
    </w:p>
    <w:p w:rsidR="00592E7E" w:rsidRPr="005876D5" w:rsidRDefault="00592E7E" w:rsidP="00B04AE7">
      <w:pPr>
        <w:spacing w:after="0" w:line="240" w:lineRule="auto"/>
        <w:jc w:val="both"/>
        <w:rPr>
          <w:i/>
        </w:rPr>
      </w:pPr>
      <w:r w:rsidRPr="005876D5">
        <w:rPr>
          <w:i/>
        </w:rPr>
        <w:t>“Yo tengo metidos unos papeles con la Defensoría con r</w:t>
      </w:r>
      <w:r w:rsidR="00802008">
        <w:rPr>
          <w:i/>
        </w:rPr>
        <w:t>especto a ANDA y porqué ANDA, no</w:t>
      </w:r>
      <w:r w:rsidRPr="005876D5">
        <w:rPr>
          <w:i/>
        </w:rPr>
        <w:t xml:space="preserve"> </w:t>
      </w:r>
      <w:r w:rsidR="00802008">
        <w:rPr>
          <w:i/>
        </w:rPr>
        <w:t>d</w:t>
      </w:r>
      <w:r w:rsidRPr="005876D5">
        <w:rPr>
          <w:i/>
        </w:rPr>
        <w:t>a respuesta como debe de ser en tiempo que son los 15 días. Pasan esos días y me hablaron de la Defensoría y me dijeron que fuera a ratificar la denuncia y de la cual no hemos tenido ninguna respuesta. Desea sa</w:t>
      </w:r>
      <w:r w:rsidR="005876D5" w:rsidRPr="005876D5">
        <w:rPr>
          <w:i/>
        </w:rPr>
        <w:t>ber qué es lo que está pasando.”</w:t>
      </w:r>
    </w:p>
    <w:p w:rsidR="00592E7E" w:rsidRDefault="00592E7E" w:rsidP="00B04AE7">
      <w:pPr>
        <w:spacing w:after="0" w:line="240" w:lineRule="auto"/>
        <w:jc w:val="both"/>
      </w:pPr>
    </w:p>
    <w:p w:rsidR="00592E7E" w:rsidRDefault="00592E7E" w:rsidP="00B04AE7">
      <w:pPr>
        <w:spacing w:after="0" w:line="240" w:lineRule="auto"/>
        <w:jc w:val="both"/>
        <w:rPr>
          <w:b/>
        </w:rPr>
      </w:pPr>
      <w:r w:rsidRPr="00592E7E">
        <w:rPr>
          <w:b/>
        </w:rPr>
        <w:t>2-</w:t>
      </w:r>
      <w:r>
        <w:rPr>
          <w:b/>
        </w:rPr>
        <w:t xml:space="preserve">Hombre anónimo: </w:t>
      </w:r>
    </w:p>
    <w:p w:rsidR="00592E7E" w:rsidRPr="005876D5" w:rsidRDefault="00592E7E" w:rsidP="00B04AE7">
      <w:pPr>
        <w:spacing w:after="0" w:line="240" w:lineRule="auto"/>
        <w:jc w:val="both"/>
        <w:rPr>
          <w:i/>
        </w:rPr>
      </w:pPr>
      <w:r w:rsidRPr="005876D5">
        <w:rPr>
          <w:i/>
        </w:rPr>
        <w:t>“¿Qué competencia tienen sobre las municipalidades?, debido a que cobran muchos impuestos y no tienen ningún control de la ciudadanía sobre ellos. ¿Podría la DC gestionar algún tipo de ley para que tengan la competencia adecuada a través de la Asamblea Legislativa en cuanto a las Alcaldías Municipales para que se pueda controlar el cobro de impuestos?</w:t>
      </w:r>
      <w:r w:rsidR="005876D5" w:rsidRPr="005876D5">
        <w:rPr>
          <w:i/>
        </w:rPr>
        <w:t>”</w:t>
      </w:r>
    </w:p>
    <w:p w:rsidR="00592E7E" w:rsidRDefault="00592E7E" w:rsidP="00B04AE7">
      <w:pPr>
        <w:spacing w:after="0" w:line="240" w:lineRule="auto"/>
        <w:jc w:val="both"/>
      </w:pPr>
    </w:p>
    <w:p w:rsidR="00592E7E" w:rsidRPr="007252BA" w:rsidRDefault="00592E7E" w:rsidP="00B04AE7">
      <w:pPr>
        <w:spacing w:after="0" w:line="240" w:lineRule="auto"/>
        <w:jc w:val="both"/>
        <w:rPr>
          <w:b/>
        </w:rPr>
      </w:pPr>
      <w:r w:rsidRPr="007252BA">
        <w:rPr>
          <w:b/>
        </w:rPr>
        <w:t>3-Juan Bautista Ayala, del Grupo Gestor de San Miguel:</w:t>
      </w:r>
    </w:p>
    <w:p w:rsidR="00592E7E" w:rsidRPr="005876D5" w:rsidRDefault="005876D5" w:rsidP="00B04AE7">
      <w:pPr>
        <w:spacing w:after="0" w:line="240" w:lineRule="auto"/>
        <w:jc w:val="both"/>
        <w:rPr>
          <w:i/>
        </w:rPr>
      </w:pPr>
      <w:r w:rsidRPr="005876D5">
        <w:rPr>
          <w:i/>
        </w:rPr>
        <w:t>“</w:t>
      </w:r>
      <w:r w:rsidR="00592E7E" w:rsidRPr="005876D5">
        <w:rPr>
          <w:i/>
        </w:rPr>
        <w:t>Informa que se ha tenido desidia en cuanto al proceso para la legalización del grupo a asociación, porque no recibieron el apoyo desd</w:t>
      </w:r>
      <w:r w:rsidR="007252BA" w:rsidRPr="005876D5">
        <w:rPr>
          <w:i/>
        </w:rPr>
        <w:t>e la Gerencia R</w:t>
      </w:r>
      <w:r w:rsidR="00592E7E" w:rsidRPr="005876D5">
        <w:rPr>
          <w:i/>
        </w:rPr>
        <w:t xml:space="preserve">egional de San Miguel. Tenían reuniones cada 8 días al respecto; pero no </w:t>
      </w:r>
      <w:r w:rsidR="007252BA" w:rsidRPr="005876D5">
        <w:rPr>
          <w:i/>
        </w:rPr>
        <w:t>se ha logrado nada.</w:t>
      </w:r>
      <w:r w:rsidRPr="005876D5">
        <w:rPr>
          <w:i/>
        </w:rPr>
        <w:t>”</w:t>
      </w:r>
    </w:p>
    <w:p w:rsidR="00592E7E" w:rsidRPr="00592E7E" w:rsidRDefault="00592E7E" w:rsidP="00B04AE7">
      <w:pPr>
        <w:spacing w:after="0" w:line="240" w:lineRule="auto"/>
        <w:jc w:val="both"/>
      </w:pPr>
    </w:p>
    <w:p w:rsidR="00680A25" w:rsidRDefault="00680A25" w:rsidP="00B04AE7">
      <w:pPr>
        <w:spacing w:after="0" w:line="240" w:lineRule="auto"/>
        <w:jc w:val="both"/>
        <w:rPr>
          <w:b/>
        </w:rPr>
      </w:pPr>
      <w:r w:rsidRPr="00321E0E">
        <w:rPr>
          <w:b/>
        </w:rPr>
        <w:t>Respuestas a cargo del señor Presidente Lic. Ricardo Salazar:</w:t>
      </w:r>
    </w:p>
    <w:p w:rsidR="007252BA" w:rsidRPr="007252BA" w:rsidRDefault="007252BA" w:rsidP="00B04AE7">
      <w:pPr>
        <w:spacing w:after="0" w:line="240" w:lineRule="auto"/>
        <w:jc w:val="both"/>
      </w:pPr>
      <w:r w:rsidRPr="007252BA">
        <w:t>Agradece al público presente por sus preguntas.</w:t>
      </w:r>
    </w:p>
    <w:p w:rsidR="007252BA" w:rsidRPr="007252BA" w:rsidRDefault="007252BA" w:rsidP="00B04AE7">
      <w:pPr>
        <w:spacing w:after="0" w:line="240" w:lineRule="auto"/>
        <w:jc w:val="both"/>
      </w:pPr>
    </w:p>
    <w:p w:rsidR="00AB617F" w:rsidRDefault="007252BA" w:rsidP="00B04AE7">
      <w:pPr>
        <w:spacing w:after="0" w:line="240" w:lineRule="auto"/>
        <w:jc w:val="both"/>
      </w:pPr>
      <w:r w:rsidRPr="007252BA">
        <w:t>Respecto al caso de ANDA</w:t>
      </w:r>
      <w:r w:rsidR="00AB617F">
        <w:t xml:space="preserve">, informa que </w:t>
      </w:r>
      <w:r>
        <w:t xml:space="preserve">la DC está trabajando en un convenio </w:t>
      </w:r>
      <w:r w:rsidR="00AB617F">
        <w:t xml:space="preserve">de cooperación </w:t>
      </w:r>
      <w:r>
        <w:t xml:space="preserve">con ANDA para </w:t>
      </w:r>
      <w:r w:rsidR="00AB617F">
        <w:t xml:space="preserve">facilitar la atención y </w:t>
      </w:r>
      <w:r>
        <w:t xml:space="preserve">mejorar </w:t>
      </w:r>
      <w:r w:rsidR="00AB617F">
        <w:t>los tiempos de respuesta. La actual administración de ANDA tiene la disposición de trabajar conjuntamente y en los últimos meses se ha visto un cambio, ya que se ha dado mayor celeridad a los trámites e incluso, es importante informar que, en la Asamblea Legislativa se están haciendo gestiones con la participación de la DC y ANDA para establecer esta mejora en los casos de facturación donde hay un incremento abrupto de un mes a otro y precisamente para esto se precisa realizar auditorías a los sistemas de cobro.</w:t>
      </w:r>
    </w:p>
    <w:p w:rsidR="00AB617F" w:rsidRDefault="00AB617F" w:rsidP="00B04AE7">
      <w:pPr>
        <w:spacing w:after="0" w:line="240" w:lineRule="auto"/>
        <w:jc w:val="both"/>
      </w:pPr>
    </w:p>
    <w:p w:rsidR="00AB617F" w:rsidRDefault="00AB617F" w:rsidP="00B04AE7">
      <w:pPr>
        <w:spacing w:after="0" w:line="240" w:lineRule="auto"/>
        <w:jc w:val="both"/>
      </w:pPr>
      <w:r>
        <w:t xml:space="preserve">Esta actividad conjunta está encaminada a mejorar la atención, debido a que destaca la cantidad de reclamos que se registran en la Defensoría </w:t>
      </w:r>
      <w:r w:rsidR="00D7459F">
        <w:t>y,</w:t>
      </w:r>
      <w:r>
        <w:t xml:space="preserve"> por tanto, se busca una gestión favorable para el consumidor. Por tanto, delega a la técnica Zaida López, Coordinad</w:t>
      </w:r>
      <w:r w:rsidR="00460B1F">
        <w:t>ora de la oficina regional de ori</w:t>
      </w:r>
      <w:r>
        <w:t>ente para conocer el detalle del caso y brindarle la atención oportuna que merece.</w:t>
      </w:r>
    </w:p>
    <w:p w:rsidR="00AB617F" w:rsidRPr="007252BA" w:rsidRDefault="00AB617F" w:rsidP="00B04AE7">
      <w:pPr>
        <w:spacing w:after="0" w:line="240" w:lineRule="auto"/>
        <w:jc w:val="both"/>
      </w:pPr>
    </w:p>
    <w:p w:rsidR="00B04AE7" w:rsidRDefault="00D7459F" w:rsidP="00B04AE7">
      <w:pPr>
        <w:spacing w:after="0" w:line="240" w:lineRule="auto"/>
        <w:jc w:val="both"/>
      </w:pPr>
      <w:r>
        <w:t xml:space="preserve">Sobre el tema de las municipalidades, señala que no contamos con competencias legales; pero la DC apoya a nivel de gestiones la resolución de muchos reclamos que recibe, por ejemplo, sobre el cobro de servicios municipales que no son prestados; como es el caso de alumbrado eléctrico, </w:t>
      </w:r>
      <w:r>
        <w:lastRenderedPageBreak/>
        <w:t xml:space="preserve">recolección de basura, etc. se tendrá que analizar la posibilidad de añadir competencias de la DC, así como en </w:t>
      </w:r>
      <w:r w:rsidR="001D2FCE">
        <w:t>qué</w:t>
      </w:r>
      <w:r>
        <w:t xml:space="preserve"> tipo de situaciones podría intervenir y también la factibilidad de que sean aprobadas en la Asamblea Legislativa, quiere decir que se tendrá que  hacer un estudio para tomar una decisión al respecto.</w:t>
      </w:r>
    </w:p>
    <w:p w:rsidR="00D7459F" w:rsidRDefault="00D7459F" w:rsidP="00B04AE7">
      <w:pPr>
        <w:spacing w:after="0" w:line="240" w:lineRule="auto"/>
        <w:jc w:val="both"/>
      </w:pPr>
    </w:p>
    <w:p w:rsidR="00D7459F" w:rsidRDefault="00D7459F" w:rsidP="00B04AE7">
      <w:pPr>
        <w:spacing w:after="0" w:line="240" w:lineRule="auto"/>
        <w:jc w:val="both"/>
      </w:pPr>
      <w:r>
        <w:t xml:space="preserve">Finalmente, sobre el tema que mencionó el señor Juan Bautista Ayala, se compromete a hablar el tema personalmente </w:t>
      </w:r>
      <w:r w:rsidR="00166A07">
        <w:t xml:space="preserve">y encontrar una vía de solución, por lo que es importante conocer que fue lo que impidió el avance del proceso de formación del Grupo Gestor de San Miguel a Asociación de Consumidores; pero estará al pendiente para retomar este esfuerzo y para lo cual indica que la Dirección de Ciudadanía y Consumo también estará dispuesto a atender el requerimiento. </w:t>
      </w:r>
    </w:p>
    <w:p w:rsidR="00AB617F" w:rsidRDefault="00AB617F" w:rsidP="00B04AE7">
      <w:pPr>
        <w:spacing w:after="0" w:line="240" w:lineRule="auto"/>
        <w:jc w:val="both"/>
      </w:pPr>
    </w:p>
    <w:p w:rsidR="001531E1" w:rsidRDefault="001531E1" w:rsidP="00B04AE7">
      <w:pPr>
        <w:spacing w:after="0" w:line="240" w:lineRule="auto"/>
        <w:jc w:val="both"/>
        <w:rPr>
          <w:b/>
          <w:color w:val="FFFFFF" w:themeColor="background1"/>
        </w:rPr>
      </w:pPr>
      <w:r>
        <w:rPr>
          <w:b/>
          <w:color w:val="FFFFFF" w:themeColor="background1"/>
          <w:highlight w:val="blue"/>
        </w:rPr>
        <w:t xml:space="preserve">Segundo </w:t>
      </w:r>
      <w:r w:rsidRPr="001531E1">
        <w:rPr>
          <w:b/>
          <w:color w:val="FFFFFF" w:themeColor="background1"/>
          <w:highlight w:val="blue"/>
        </w:rPr>
        <w:t xml:space="preserve">bloque de </w:t>
      </w:r>
      <w:r>
        <w:rPr>
          <w:b/>
          <w:color w:val="FFFFFF" w:themeColor="background1"/>
          <w:highlight w:val="blue"/>
        </w:rPr>
        <w:t>aportes</w:t>
      </w:r>
      <w:r w:rsidR="005876D5">
        <w:rPr>
          <w:b/>
          <w:color w:val="FFFFFF" w:themeColor="background1"/>
          <w:highlight w:val="blue"/>
        </w:rPr>
        <w:t xml:space="preserve"> (intervenciones escritas</w:t>
      </w:r>
      <w:r w:rsidRPr="001531E1">
        <w:rPr>
          <w:b/>
          <w:color w:val="FFFFFF" w:themeColor="background1"/>
          <w:highlight w:val="blue"/>
        </w:rPr>
        <w:t>):</w:t>
      </w:r>
    </w:p>
    <w:p w:rsidR="00B04AE7" w:rsidRDefault="00B04AE7" w:rsidP="00B04AE7">
      <w:pPr>
        <w:spacing w:after="0" w:line="240" w:lineRule="auto"/>
        <w:jc w:val="both"/>
      </w:pPr>
    </w:p>
    <w:p w:rsidR="00B04AE7" w:rsidRPr="00A319B0" w:rsidRDefault="00A319B0" w:rsidP="00B04AE7">
      <w:pPr>
        <w:spacing w:after="0" w:line="240" w:lineRule="auto"/>
        <w:jc w:val="both"/>
      </w:pPr>
      <w:r w:rsidRPr="00A319B0">
        <w:t>Moderadora: Licda. Sonia Vivas reitera la importancia para la DC de conocer las impresiones del pública sobre el trabajo institucional que se expuso en la rendición de cuentas y expresar las oportunidades de mejora.</w:t>
      </w:r>
    </w:p>
    <w:p w:rsidR="00616153" w:rsidRPr="00EF401C" w:rsidRDefault="00616153" w:rsidP="00B04AE7">
      <w:pPr>
        <w:spacing w:after="0" w:line="240" w:lineRule="auto"/>
        <w:jc w:val="both"/>
        <w:rPr>
          <w:b/>
        </w:rPr>
      </w:pPr>
    </w:p>
    <w:p w:rsidR="00616153" w:rsidRDefault="00A319B0" w:rsidP="00616153">
      <w:pPr>
        <w:spacing w:after="0" w:line="240" w:lineRule="auto"/>
        <w:jc w:val="both"/>
        <w:rPr>
          <w:b/>
        </w:rPr>
      </w:pPr>
      <w:r>
        <w:rPr>
          <w:b/>
        </w:rPr>
        <w:t>1-Sara Granados</w:t>
      </w:r>
      <w:r w:rsidR="00EE1ED3">
        <w:rPr>
          <w:b/>
        </w:rPr>
        <w:t>:</w:t>
      </w:r>
      <w:r>
        <w:rPr>
          <w:b/>
        </w:rPr>
        <w:t xml:space="preserve"> </w:t>
      </w:r>
      <w:r w:rsidR="00B22ADE">
        <w:rPr>
          <w:b/>
        </w:rPr>
        <w:t>“</w:t>
      </w:r>
      <w:r>
        <w:rPr>
          <w:b/>
        </w:rPr>
        <w:t>¿Cuáles son los entes autorizados para regular los precios de los servicios y productos en general?</w:t>
      </w:r>
      <w:r w:rsidR="00B22ADE">
        <w:rPr>
          <w:b/>
        </w:rPr>
        <w:t>”</w:t>
      </w:r>
    </w:p>
    <w:p w:rsidR="00B548D7" w:rsidRDefault="00B548D7" w:rsidP="00616153">
      <w:pPr>
        <w:spacing w:after="0" w:line="240" w:lineRule="auto"/>
        <w:jc w:val="both"/>
        <w:rPr>
          <w:b/>
        </w:rPr>
      </w:pPr>
    </w:p>
    <w:p w:rsidR="00A319B0" w:rsidRDefault="00B548D7" w:rsidP="00616153">
      <w:pPr>
        <w:spacing w:after="0" w:line="240" w:lineRule="auto"/>
        <w:jc w:val="both"/>
      </w:pPr>
      <w:r>
        <w:t xml:space="preserve">Respuesta: </w:t>
      </w:r>
      <w:r w:rsidR="00A319B0" w:rsidRPr="00EE1ED3">
        <w:t>En el caso de los precios de algunos productos y subsidios son regulados como el transporte público, las tarifas de ANDA, tarifas de regulación de la energía eléctrica</w:t>
      </w:r>
      <w:r w:rsidR="00EE1ED3" w:rsidRPr="00EE1ED3">
        <w:t xml:space="preserve">, </w:t>
      </w:r>
      <w:r w:rsidR="00A319B0" w:rsidRPr="00EE1ED3">
        <w:t xml:space="preserve">el subsidio del gas propano </w:t>
      </w:r>
      <w:r w:rsidR="00EE1ED3" w:rsidRPr="00EE1ED3">
        <w:t>o del agua potable, existen instituciones públicas encargadas de aplicarlos conforme a sus</w:t>
      </w:r>
      <w:r w:rsidR="00EE1ED3">
        <w:t xml:space="preserve"> competencias legales. En el caso de productos en general como en el caso particular donde se decreta emergencia nacional por la Asamblea Legislativa, la Defensoría del Consumidor puede ejercer la competencia de regular ciertos precios, cuando surgen ciertas situaciones específicas y no de manera arbitraria. </w:t>
      </w:r>
    </w:p>
    <w:p w:rsidR="00EE1ED3" w:rsidRDefault="00EE1ED3" w:rsidP="00616153">
      <w:pPr>
        <w:spacing w:after="0" w:line="240" w:lineRule="auto"/>
        <w:jc w:val="both"/>
      </w:pPr>
    </w:p>
    <w:p w:rsidR="00EE1ED3" w:rsidRDefault="00EE1ED3" w:rsidP="00616153">
      <w:pPr>
        <w:spacing w:after="0" w:line="240" w:lineRule="auto"/>
        <w:jc w:val="both"/>
        <w:rPr>
          <w:b/>
        </w:rPr>
      </w:pPr>
      <w:r w:rsidRPr="00EE1ED3">
        <w:rPr>
          <w:b/>
        </w:rPr>
        <w:t>2-</w:t>
      </w:r>
      <w:r>
        <w:rPr>
          <w:b/>
        </w:rPr>
        <w:t>Wilfredo G</w:t>
      </w:r>
      <w:r w:rsidR="002F7A7B">
        <w:rPr>
          <w:b/>
        </w:rPr>
        <w:t>arcía: “Si podría gestionar una</w:t>
      </w:r>
      <w:r w:rsidRPr="00EE1ED3">
        <w:rPr>
          <w:b/>
        </w:rPr>
        <w:t xml:space="preserve"> ley para poder defender al consumidor en asuntos o c</w:t>
      </w:r>
      <w:r w:rsidR="002F7A7B">
        <w:rPr>
          <w:b/>
        </w:rPr>
        <w:t>onflictos contra las Alcaldías m</w:t>
      </w:r>
      <w:r w:rsidRPr="00EE1ED3">
        <w:rPr>
          <w:b/>
        </w:rPr>
        <w:t>unicip</w:t>
      </w:r>
      <w:r>
        <w:rPr>
          <w:b/>
        </w:rPr>
        <w:t>ales del país y contra la SIGET”</w:t>
      </w:r>
    </w:p>
    <w:p w:rsidR="00EE1ED3" w:rsidRDefault="00EE1ED3" w:rsidP="00616153">
      <w:pPr>
        <w:spacing w:after="0" w:line="240" w:lineRule="auto"/>
        <w:jc w:val="both"/>
        <w:rPr>
          <w:b/>
        </w:rPr>
      </w:pPr>
    </w:p>
    <w:p w:rsidR="00EE1ED3" w:rsidRPr="00EE1ED3" w:rsidRDefault="00B548D7" w:rsidP="00616153">
      <w:pPr>
        <w:spacing w:after="0" w:line="240" w:lineRule="auto"/>
        <w:jc w:val="both"/>
      </w:pPr>
      <w:r>
        <w:t xml:space="preserve">Respuesta: </w:t>
      </w:r>
      <w:r w:rsidR="00EE1ED3" w:rsidRPr="00EE1ED3">
        <w:t>Al respecto, el señor Presidente informa que esta pregunta ya fue respondida durante las intervenciones verbales.</w:t>
      </w:r>
    </w:p>
    <w:p w:rsidR="00EE1ED3" w:rsidRDefault="00EE1ED3" w:rsidP="00616153">
      <w:pPr>
        <w:spacing w:after="0" w:line="240" w:lineRule="auto"/>
        <w:jc w:val="both"/>
      </w:pPr>
    </w:p>
    <w:p w:rsidR="00EE1ED3" w:rsidRDefault="00EE1ED3" w:rsidP="00616153">
      <w:pPr>
        <w:spacing w:after="0" w:line="240" w:lineRule="auto"/>
        <w:jc w:val="both"/>
        <w:rPr>
          <w:b/>
        </w:rPr>
      </w:pPr>
      <w:r w:rsidRPr="00EE1ED3">
        <w:rPr>
          <w:b/>
        </w:rPr>
        <w:t>3-</w:t>
      </w:r>
      <w:r w:rsidR="00E0751D">
        <w:rPr>
          <w:b/>
        </w:rPr>
        <w:t>Arleen Ramos</w:t>
      </w:r>
      <w:r w:rsidR="00B22ADE">
        <w:rPr>
          <w:b/>
        </w:rPr>
        <w:t>:</w:t>
      </w:r>
      <w:r w:rsidR="00E0751D">
        <w:rPr>
          <w:b/>
        </w:rPr>
        <w:t xml:space="preserve"> </w:t>
      </w:r>
      <w:r w:rsidR="00B22ADE">
        <w:rPr>
          <w:b/>
        </w:rPr>
        <w:t>“</w:t>
      </w:r>
      <w:r w:rsidR="002F7A7B">
        <w:rPr>
          <w:b/>
        </w:rPr>
        <w:t>¿Cómo controlar cuando en un determinado</w:t>
      </w:r>
      <w:r>
        <w:rPr>
          <w:b/>
        </w:rPr>
        <w:t xml:space="preserve"> lugar</w:t>
      </w:r>
      <w:r w:rsidR="002F7A7B">
        <w:rPr>
          <w:b/>
        </w:rPr>
        <w:t>,</w:t>
      </w:r>
      <w:r>
        <w:rPr>
          <w:b/>
        </w:rPr>
        <w:t xml:space="preserve"> sabe</w:t>
      </w:r>
      <w:r w:rsidR="002F7A7B">
        <w:rPr>
          <w:b/>
        </w:rPr>
        <w:t>n</w:t>
      </w:r>
      <w:r>
        <w:rPr>
          <w:b/>
        </w:rPr>
        <w:t xml:space="preserve"> que llegarán a inspeccionar</w:t>
      </w:r>
      <w:r w:rsidR="002F7A7B">
        <w:rPr>
          <w:b/>
        </w:rPr>
        <w:t xml:space="preserve"> (</w:t>
      </w:r>
      <w:r w:rsidR="00E0751D">
        <w:rPr>
          <w:b/>
        </w:rPr>
        <w:t>la D</w:t>
      </w:r>
      <w:r w:rsidR="002F7A7B">
        <w:rPr>
          <w:b/>
        </w:rPr>
        <w:t xml:space="preserve">efensoría del </w:t>
      </w:r>
      <w:r w:rsidR="00E0751D">
        <w:rPr>
          <w:b/>
        </w:rPr>
        <w:t>C</w:t>
      </w:r>
      <w:r w:rsidR="002F7A7B">
        <w:rPr>
          <w:b/>
        </w:rPr>
        <w:t>onsumidor)</w:t>
      </w:r>
      <w:r w:rsidR="00E0751D">
        <w:rPr>
          <w:b/>
        </w:rPr>
        <w:t xml:space="preserve"> y tiene</w:t>
      </w:r>
      <w:r>
        <w:rPr>
          <w:b/>
        </w:rPr>
        <w:t xml:space="preserve"> productos </w:t>
      </w:r>
      <w:r w:rsidR="00E0751D">
        <w:rPr>
          <w:b/>
        </w:rPr>
        <w:t>vencidos,</w:t>
      </w:r>
      <w:r>
        <w:rPr>
          <w:b/>
        </w:rPr>
        <w:t xml:space="preserve"> pero cambian la</w:t>
      </w:r>
      <w:r w:rsidR="002F7A7B">
        <w:rPr>
          <w:b/>
        </w:rPr>
        <w:t xml:space="preserve"> etiqueta de vencimiento, aun cuando no ha</w:t>
      </w:r>
      <w:r>
        <w:rPr>
          <w:b/>
        </w:rPr>
        <w:t xml:space="preserve"> caducado?</w:t>
      </w:r>
      <w:r w:rsidR="00B22ADE">
        <w:rPr>
          <w:b/>
        </w:rPr>
        <w:t>”</w:t>
      </w:r>
    </w:p>
    <w:p w:rsidR="00EE1ED3" w:rsidRDefault="00EE1ED3" w:rsidP="00616153">
      <w:pPr>
        <w:spacing w:after="0" w:line="240" w:lineRule="auto"/>
        <w:jc w:val="both"/>
        <w:rPr>
          <w:b/>
        </w:rPr>
      </w:pPr>
    </w:p>
    <w:p w:rsidR="00EE1ED3" w:rsidRDefault="00B548D7" w:rsidP="00616153">
      <w:pPr>
        <w:spacing w:after="0" w:line="240" w:lineRule="auto"/>
        <w:jc w:val="both"/>
      </w:pPr>
      <w:r>
        <w:t xml:space="preserve">Respuesta: </w:t>
      </w:r>
      <w:r w:rsidR="00EE1ED3" w:rsidRPr="00EE1ED3">
        <w:t>El señor Presidente, invita a la consumidora a que pueda ampliar esta información por medio de</w:t>
      </w:r>
      <w:r w:rsidR="00EE1ED3">
        <w:t xml:space="preserve"> </w:t>
      </w:r>
      <w:r w:rsidR="00EE1ED3" w:rsidRPr="00EE1ED3">
        <w:t>la Unidad de Acceso a la Información Pública</w:t>
      </w:r>
      <w:r w:rsidR="00EE1ED3">
        <w:t>, debido a que este es un tema bastante delicado y se actuará por medio del mecanismo pertinente para atender este tipo de situación. Por lo que, a la población también la invita, a que si sabe de un caso similar se informe al Centro de Solución de Controversias, a efectos de dar el</w:t>
      </w:r>
      <w:r w:rsidR="00E0751D">
        <w:t xml:space="preserve"> tratamiento que corresponda. D</w:t>
      </w:r>
      <w:r w:rsidR="00EE1ED3">
        <w:t>e</w:t>
      </w:r>
      <w:r w:rsidR="00E0751D">
        <w:t xml:space="preserve"> </w:t>
      </w:r>
      <w:r w:rsidR="00EE1ED3">
        <w:t xml:space="preserve">ninguna manera la DC van </w:t>
      </w:r>
      <w:r w:rsidR="00E0751D">
        <w:t xml:space="preserve">a contemplar o encubrir casos de este tipo, los investigamos y hay una Ley de Ética </w:t>
      </w:r>
      <w:r w:rsidR="00E0751D">
        <w:lastRenderedPageBreak/>
        <w:t xml:space="preserve">Gubernamental que tiene amplias actuaciones en caso de los funcionarios públicos, por esa vía también se da la investigación de ciertos casos. </w:t>
      </w:r>
    </w:p>
    <w:p w:rsidR="00E0751D" w:rsidRDefault="00E0751D" w:rsidP="00616153">
      <w:pPr>
        <w:spacing w:after="0" w:line="240" w:lineRule="auto"/>
        <w:jc w:val="both"/>
      </w:pPr>
    </w:p>
    <w:p w:rsidR="00E0751D" w:rsidRDefault="00E0751D" w:rsidP="00616153">
      <w:pPr>
        <w:spacing w:after="0" w:line="240" w:lineRule="auto"/>
        <w:jc w:val="both"/>
        <w:rPr>
          <w:b/>
        </w:rPr>
      </w:pPr>
      <w:r w:rsidRPr="00E0751D">
        <w:rPr>
          <w:b/>
        </w:rPr>
        <w:t>4-Héctor Mena: “En el tema del transporte público, ¿está en competencia la Defensoría como para establecer estándares tanto de seguridad para las personas, como para el autobús?, ya que de igual manera somos consumidores de ese servicio.</w:t>
      </w:r>
      <w:r w:rsidR="00B22ADE">
        <w:rPr>
          <w:b/>
        </w:rPr>
        <w:t>”</w:t>
      </w:r>
    </w:p>
    <w:p w:rsidR="00B548D7" w:rsidRDefault="00B548D7" w:rsidP="00616153">
      <w:pPr>
        <w:spacing w:after="0" w:line="240" w:lineRule="auto"/>
        <w:jc w:val="both"/>
      </w:pPr>
    </w:p>
    <w:p w:rsidR="00E0751D" w:rsidRDefault="00B548D7" w:rsidP="00616153">
      <w:pPr>
        <w:spacing w:after="0" w:line="240" w:lineRule="auto"/>
        <w:jc w:val="both"/>
      </w:pPr>
      <w:r>
        <w:t xml:space="preserve">Respuesta: </w:t>
      </w:r>
      <w:r w:rsidR="00E0751D">
        <w:t>Aun cuando no contamos con una competencia expresa, si se puede realizar gestiones con el Viceministerio de Transporte, específicamente con la Dirección de Transporte Público y por medio de la Unidad de Acceso a la Información se le contactará para que pueda compartir el detalle de la situación; a fin de iniciar una gestión con el VMT.</w:t>
      </w:r>
    </w:p>
    <w:p w:rsidR="00B548D7" w:rsidRDefault="00B548D7" w:rsidP="00616153">
      <w:pPr>
        <w:spacing w:after="0" w:line="240" w:lineRule="auto"/>
        <w:jc w:val="both"/>
      </w:pPr>
    </w:p>
    <w:p w:rsidR="00B548D7" w:rsidRDefault="00B548D7" w:rsidP="00616153">
      <w:pPr>
        <w:spacing w:after="0" w:line="240" w:lineRule="auto"/>
        <w:jc w:val="both"/>
        <w:rPr>
          <w:b/>
        </w:rPr>
      </w:pPr>
      <w:r>
        <w:rPr>
          <w:b/>
        </w:rPr>
        <w:t>5-San</w:t>
      </w:r>
      <w:r w:rsidRPr="00B548D7">
        <w:rPr>
          <w:b/>
        </w:rPr>
        <w:t>dra Lara: “Cu</w:t>
      </w:r>
      <w:r>
        <w:rPr>
          <w:b/>
        </w:rPr>
        <w:t>a</w:t>
      </w:r>
      <w:r w:rsidRPr="00B548D7">
        <w:rPr>
          <w:b/>
        </w:rPr>
        <w:t xml:space="preserve">ndo sancionan a una institución, esta debe de pagar, </w:t>
      </w:r>
      <w:r>
        <w:rPr>
          <w:b/>
        </w:rPr>
        <w:t>¿</w:t>
      </w:r>
      <w:r w:rsidRPr="00B548D7">
        <w:rPr>
          <w:b/>
        </w:rPr>
        <w:t>este fondo para dónde va</w:t>
      </w:r>
      <w:r>
        <w:rPr>
          <w:b/>
        </w:rPr>
        <w:t>?</w:t>
      </w:r>
      <w:r w:rsidRPr="00B548D7">
        <w:rPr>
          <w:b/>
        </w:rPr>
        <w:t xml:space="preserve"> </w:t>
      </w:r>
      <w:r>
        <w:rPr>
          <w:b/>
        </w:rPr>
        <w:t>¿Q</w:t>
      </w:r>
      <w:r w:rsidRPr="00B548D7">
        <w:rPr>
          <w:b/>
        </w:rPr>
        <w:t>uién lo recibe y para que lo ocupan?”</w:t>
      </w:r>
    </w:p>
    <w:p w:rsidR="00B548D7" w:rsidRDefault="00B548D7" w:rsidP="00616153">
      <w:pPr>
        <w:spacing w:after="0" w:line="240" w:lineRule="auto"/>
        <w:jc w:val="both"/>
        <w:rPr>
          <w:b/>
        </w:rPr>
      </w:pPr>
    </w:p>
    <w:p w:rsidR="00EE1ED3" w:rsidRDefault="00B548D7" w:rsidP="00616153">
      <w:pPr>
        <w:spacing w:after="0" w:line="240" w:lineRule="auto"/>
        <w:jc w:val="both"/>
      </w:pPr>
      <w:r>
        <w:t>Respuesta:</w:t>
      </w:r>
      <w:r>
        <w:rPr>
          <w:b/>
        </w:rPr>
        <w:t xml:space="preserve"> </w:t>
      </w:r>
      <w:r w:rsidRPr="00B548D7">
        <w:t>Presidente DC delega a la técnica de comunicaciones Patricia Salinas y a la oficina Regional de Oriente para que se le brinde respuesta a su pregunta.</w:t>
      </w:r>
    </w:p>
    <w:p w:rsidR="00B548D7" w:rsidRDefault="00B548D7" w:rsidP="00616153">
      <w:pPr>
        <w:spacing w:after="0" w:line="240" w:lineRule="auto"/>
        <w:jc w:val="both"/>
      </w:pPr>
    </w:p>
    <w:p w:rsidR="00A319B0" w:rsidRDefault="00B548D7" w:rsidP="00616153">
      <w:pPr>
        <w:spacing w:after="0" w:line="240" w:lineRule="auto"/>
        <w:jc w:val="both"/>
        <w:rPr>
          <w:b/>
        </w:rPr>
      </w:pPr>
      <w:r>
        <w:rPr>
          <w:b/>
        </w:rPr>
        <w:t>6-Patricia Montes: “Que el recibo de la luz cada mes sube la tarifa exageradamente.”</w:t>
      </w:r>
    </w:p>
    <w:p w:rsidR="00B548D7" w:rsidRDefault="00B548D7" w:rsidP="00616153">
      <w:pPr>
        <w:spacing w:after="0" w:line="240" w:lineRule="auto"/>
        <w:jc w:val="both"/>
        <w:rPr>
          <w:b/>
        </w:rPr>
      </w:pPr>
    </w:p>
    <w:p w:rsidR="00B548D7" w:rsidRDefault="00B548D7" w:rsidP="00B548D7">
      <w:pPr>
        <w:spacing w:after="0" w:line="240" w:lineRule="auto"/>
        <w:jc w:val="both"/>
      </w:pPr>
      <w:r>
        <w:t xml:space="preserve">Respuesta: La Defensoría del Consumidor está en conversaciones con AES, precisamente para mejorar la calidad del servicio de la luz eléctrica y de los cobros, en los últimos meses se han recibido reclamos sobre cobros excesivos, por lo que se cuenta con el apoyo de la SIGET para realizar inspección que hay que realizar sobre el inmueble </w:t>
      </w:r>
      <w:r w:rsidR="006138D2">
        <w:t>para verificar las fallas del servicio y sobre la facturación. En el caso particular, se le contactará desde la Oficina Regional de Oriente para atender su reclamo.</w:t>
      </w:r>
    </w:p>
    <w:p w:rsidR="006138D2" w:rsidRDefault="006138D2" w:rsidP="00B548D7">
      <w:pPr>
        <w:spacing w:after="0" w:line="240" w:lineRule="auto"/>
        <w:jc w:val="both"/>
      </w:pPr>
    </w:p>
    <w:p w:rsidR="006138D2" w:rsidRDefault="006138D2" w:rsidP="00B548D7">
      <w:pPr>
        <w:spacing w:after="0" w:line="240" w:lineRule="auto"/>
        <w:jc w:val="both"/>
      </w:pPr>
      <w:r>
        <w:t xml:space="preserve">Hay que tener en cuenta que en este trimestre ha entrado en vigencia una nuevo pliego tarifario e incremento 3.5% y 4.8% aproximadamente, dependiendo de la compañía eléctrica, por lo que invita a la población a estar atenta al tema y ante cualquier reclamo la DC se pone a sus órdenes para recibirlo, así como, la SIGET cuenta con una oficina en el Centro de gobierno para permitir atender de manera oportuna y como la ciudadanía lo merece. </w:t>
      </w:r>
    </w:p>
    <w:p w:rsidR="00B548D7" w:rsidRDefault="00B548D7" w:rsidP="00616153">
      <w:pPr>
        <w:spacing w:after="0" w:line="240" w:lineRule="auto"/>
        <w:jc w:val="both"/>
        <w:rPr>
          <w:b/>
        </w:rPr>
      </w:pPr>
    </w:p>
    <w:p w:rsidR="002F7A7B" w:rsidRDefault="002F7A7B" w:rsidP="00616153">
      <w:pPr>
        <w:spacing w:after="0" w:line="240" w:lineRule="auto"/>
        <w:jc w:val="both"/>
        <w:rPr>
          <w:b/>
        </w:rPr>
      </w:pPr>
      <w:r w:rsidRPr="002F7A7B">
        <w:rPr>
          <w:b/>
        </w:rPr>
        <w:t>7-</w:t>
      </w:r>
      <w:r>
        <w:rPr>
          <w:b/>
        </w:rPr>
        <w:t>Juan Bautista Ayala: “Si están en condiciones apoyar la intención de organizar o darle seguimiento a la que ya está”</w:t>
      </w:r>
    </w:p>
    <w:p w:rsidR="002F7A7B" w:rsidRDefault="002F7A7B" w:rsidP="00616153">
      <w:pPr>
        <w:spacing w:after="0" w:line="240" w:lineRule="auto"/>
        <w:jc w:val="both"/>
        <w:rPr>
          <w:b/>
        </w:rPr>
      </w:pPr>
    </w:p>
    <w:p w:rsidR="002F7A7B" w:rsidRPr="002F7A7B" w:rsidRDefault="002F7A7B" w:rsidP="00616153">
      <w:pPr>
        <w:spacing w:after="0" w:line="240" w:lineRule="auto"/>
        <w:jc w:val="both"/>
      </w:pPr>
      <w:r w:rsidRPr="002F7A7B">
        <w:t>Respuesta:</w:t>
      </w:r>
      <w:r>
        <w:t xml:space="preserve"> Este requerimiento se refiera a la formación del Grupo Gestor de San Miguel a Asociación de Consumidores, que ya había sido respondida por el señor Presidente de la Defensoría del Consumidor, durante las intervenciones verbales.  </w:t>
      </w:r>
    </w:p>
    <w:p w:rsidR="006138D2" w:rsidRDefault="006138D2" w:rsidP="00616153">
      <w:pPr>
        <w:spacing w:after="0" w:line="240" w:lineRule="auto"/>
        <w:jc w:val="both"/>
      </w:pPr>
    </w:p>
    <w:p w:rsidR="00B22ADE" w:rsidRDefault="00B22ADE" w:rsidP="00616153">
      <w:pPr>
        <w:spacing w:after="0" w:line="240" w:lineRule="auto"/>
        <w:jc w:val="both"/>
      </w:pPr>
    </w:p>
    <w:p w:rsidR="00B22ADE" w:rsidRDefault="00B22ADE" w:rsidP="00B22ADE">
      <w:pPr>
        <w:spacing w:after="0" w:line="240" w:lineRule="auto"/>
        <w:jc w:val="both"/>
      </w:pPr>
      <w:r>
        <w:t xml:space="preserve">Moderadora licenciada Sonia Vivas, reitera el compromiso de la Defensoría del Consumidor en la promoción de la Participación Ciudadana para ellos la Oficina Regional de Oriente cuenta con una Unidad de Ciudadanía y Consumo donde se apoya con actividades como la educación en consumo, </w:t>
      </w:r>
      <w:r>
        <w:lastRenderedPageBreak/>
        <w:t>la participación ciudadana y el acercamiento de los servicios institucionales, por medio del mecanismo denominado “Defensorías Móviles”.</w:t>
      </w:r>
    </w:p>
    <w:p w:rsidR="00B22ADE" w:rsidRDefault="00B22ADE" w:rsidP="00B22ADE">
      <w:pPr>
        <w:spacing w:after="0" w:line="240" w:lineRule="auto"/>
        <w:jc w:val="both"/>
      </w:pPr>
    </w:p>
    <w:p w:rsidR="00B22ADE" w:rsidRDefault="00B22ADE" w:rsidP="00B22ADE">
      <w:pPr>
        <w:spacing w:after="0" w:line="240" w:lineRule="auto"/>
        <w:jc w:val="both"/>
      </w:pPr>
      <w:r>
        <w:t xml:space="preserve">Invita a representantes de las comunidades o de instituciones tienen el interés de hacer participación ciudadana y de promover los derechos del consumidor en sus territorios pueden acercarse a la Oficina Regional de Oriente para que expresen su deseo y participar en estas actividades de consumo. </w:t>
      </w:r>
    </w:p>
    <w:p w:rsidR="00B22ADE" w:rsidRDefault="00B22ADE" w:rsidP="00B22ADE">
      <w:pPr>
        <w:spacing w:after="0" w:line="240" w:lineRule="auto"/>
        <w:jc w:val="both"/>
      </w:pPr>
    </w:p>
    <w:p w:rsidR="00B22ADE" w:rsidRDefault="00B22ADE" w:rsidP="00B22ADE">
      <w:pPr>
        <w:spacing w:after="0" w:line="240" w:lineRule="auto"/>
        <w:jc w:val="both"/>
      </w:pPr>
      <w:r>
        <w:t>Agradece la asistencia a los asistentes y anuncia el cierre del evento.</w:t>
      </w:r>
    </w:p>
    <w:p w:rsidR="005876D5" w:rsidRDefault="005876D5" w:rsidP="00616153">
      <w:pPr>
        <w:spacing w:after="0" w:line="240" w:lineRule="auto"/>
        <w:jc w:val="both"/>
      </w:pPr>
    </w:p>
    <w:p w:rsidR="001531E1" w:rsidRPr="0010477E" w:rsidRDefault="001531E1" w:rsidP="00B04AE7">
      <w:pPr>
        <w:pBdr>
          <w:top w:val="dotDotDash" w:sz="4" w:space="1" w:color="auto"/>
          <w:left w:val="dotDotDash" w:sz="4" w:space="4" w:color="auto"/>
          <w:bottom w:val="dotDotDash" w:sz="4" w:space="1" w:color="auto"/>
          <w:right w:val="dotDotDash" w:sz="4" w:space="4" w:color="auto"/>
        </w:pBdr>
        <w:shd w:val="clear" w:color="auto" w:fill="002060"/>
        <w:spacing w:after="0" w:line="240" w:lineRule="auto"/>
        <w:jc w:val="center"/>
        <w:rPr>
          <w:b/>
          <w:sz w:val="28"/>
          <w:szCs w:val="24"/>
        </w:rPr>
      </w:pPr>
      <w:r>
        <w:rPr>
          <w:b/>
          <w:sz w:val="28"/>
          <w:szCs w:val="24"/>
        </w:rPr>
        <w:t>Cierre</w:t>
      </w:r>
      <w:r w:rsidRPr="0010477E">
        <w:rPr>
          <w:b/>
          <w:sz w:val="28"/>
          <w:szCs w:val="24"/>
        </w:rPr>
        <w:t xml:space="preserve"> del espacio de Participación Ciudadana</w:t>
      </w:r>
    </w:p>
    <w:p w:rsidR="002F7A7B" w:rsidRDefault="002F7A7B" w:rsidP="00B04AE7">
      <w:pPr>
        <w:spacing w:after="0" w:line="240" w:lineRule="auto"/>
        <w:jc w:val="both"/>
        <w:rPr>
          <w:b/>
          <w:sz w:val="24"/>
          <w:szCs w:val="24"/>
        </w:rPr>
      </w:pPr>
    </w:p>
    <w:p w:rsidR="001531E1" w:rsidRPr="0010477E" w:rsidRDefault="001531E1" w:rsidP="00B04AE7">
      <w:pPr>
        <w:spacing w:after="0" w:line="240" w:lineRule="auto"/>
        <w:jc w:val="both"/>
        <w:rPr>
          <w:b/>
          <w:sz w:val="24"/>
          <w:szCs w:val="24"/>
        </w:rPr>
      </w:pPr>
      <w:r w:rsidRPr="0010477E">
        <w:rPr>
          <w:b/>
          <w:sz w:val="24"/>
          <w:szCs w:val="24"/>
        </w:rPr>
        <w:t xml:space="preserve">Consolidado: </w:t>
      </w:r>
    </w:p>
    <w:tbl>
      <w:tblPr>
        <w:tblStyle w:val="Tablaconcuadrcula"/>
        <w:tblW w:w="0" w:type="auto"/>
        <w:tblInd w:w="1300" w:type="dxa"/>
        <w:tblLook w:val="04A0" w:firstRow="1" w:lastRow="0" w:firstColumn="1" w:lastColumn="0" w:noHBand="0" w:noVBand="1"/>
      </w:tblPr>
      <w:tblGrid>
        <w:gridCol w:w="2664"/>
        <w:gridCol w:w="567"/>
      </w:tblGrid>
      <w:tr w:rsidR="001531E1" w:rsidRPr="0010477E" w:rsidTr="00590041">
        <w:tc>
          <w:tcPr>
            <w:tcW w:w="2664" w:type="dxa"/>
            <w:tcBorders>
              <w:top w:val="single" w:sz="18" w:space="0" w:color="auto"/>
              <w:left w:val="single" w:sz="18" w:space="0" w:color="auto"/>
              <w:bottom w:val="single" w:sz="18" w:space="0" w:color="auto"/>
              <w:right w:val="single" w:sz="18" w:space="0" w:color="auto"/>
            </w:tcBorders>
            <w:shd w:val="clear" w:color="auto" w:fill="DEEAF6" w:themeFill="accent5" w:themeFillTint="33"/>
          </w:tcPr>
          <w:p w:rsidR="001531E1" w:rsidRPr="0010477E" w:rsidRDefault="001531E1" w:rsidP="00B04AE7">
            <w:pPr>
              <w:rPr>
                <w:b/>
                <w:sz w:val="24"/>
                <w:szCs w:val="24"/>
              </w:rPr>
            </w:pPr>
            <w:r w:rsidRPr="0010477E">
              <w:rPr>
                <w:b/>
                <w:sz w:val="24"/>
                <w:szCs w:val="24"/>
              </w:rPr>
              <w:t>Cantidad total de aportes</w:t>
            </w:r>
          </w:p>
        </w:tc>
        <w:tc>
          <w:tcPr>
            <w:tcW w:w="567" w:type="dxa"/>
            <w:tcBorders>
              <w:top w:val="single" w:sz="18" w:space="0" w:color="auto"/>
              <w:left w:val="single" w:sz="18" w:space="0" w:color="auto"/>
              <w:bottom w:val="single" w:sz="18" w:space="0" w:color="auto"/>
              <w:right w:val="single" w:sz="18" w:space="0" w:color="auto"/>
            </w:tcBorders>
            <w:shd w:val="clear" w:color="auto" w:fill="DEEAF6" w:themeFill="accent5" w:themeFillTint="33"/>
          </w:tcPr>
          <w:p w:rsidR="001531E1" w:rsidRPr="0010477E" w:rsidRDefault="002F7A7B" w:rsidP="00B04AE7">
            <w:pPr>
              <w:jc w:val="right"/>
              <w:rPr>
                <w:b/>
                <w:sz w:val="24"/>
                <w:szCs w:val="24"/>
              </w:rPr>
            </w:pPr>
            <w:r>
              <w:rPr>
                <w:b/>
                <w:sz w:val="24"/>
                <w:szCs w:val="24"/>
              </w:rPr>
              <w:t>10</w:t>
            </w:r>
          </w:p>
        </w:tc>
      </w:tr>
      <w:tr w:rsidR="001531E1" w:rsidRPr="0010477E" w:rsidTr="00590041">
        <w:tc>
          <w:tcPr>
            <w:tcW w:w="2664" w:type="dxa"/>
            <w:tcBorders>
              <w:top w:val="single" w:sz="18" w:space="0" w:color="auto"/>
              <w:left w:val="single" w:sz="18" w:space="0" w:color="auto"/>
              <w:bottom w:val="nil"/>
              <w:right w:val="single" w:sz="18" w:space="0" w:color="auto"/>
            </w:tcBorders>
            <w:shd w:val="clear" w:color="auto" w:fill="FFF2CC" w:themeFill="accent4" w:themeFillTint="33"/>
          </w:tcPr>
          <w:p w:rsidR="001531E1" w:rsidRPr="0010477E" w:rsidRDefault="001531E1" w:rsidP="00B04AE7">
            <w:pPr>
              <w:jc w:val="both"/>
              <w:rPr>
                <w:b/>
                <w:sz w:val="24"/>
                <w:szCs w:val="24"/>
              </w:rPr>
            </w:pPr>
            <w:r w:rsidRPr="0010477E">
              <w:rPr>
                <w:b/>
                <w:sz w:val="24"/>
                <w:szCs w:val="24"/>
              </w:rPr>
              <w:t>Verbales</w:t>
            </w:r>
          </w:p>
        </w:tc>
        <w:tc>
          <w:tcPr>
            <w:tcW w:w="567" w:type="dxa"/>
            <w:tcBorders>
              <w:top w:val="single" w:sz="18" w:space="0" w:color="auto"/>
              <w:left w:val="single" w:sz="18" w:space="0" w:color="auto"/>
              <w:bottom w:val="nil"/>
              <w:right w:val="single" w:sz="18" w:space="0" w:color="auto"/>
            </w:tcBorders>
            <w:shd w:val="clear" w:color="auto" w:fill="FFF2CC" w:themeFill="accent4" w:themeFillTint="33"/>
          </w:tcPr>
          <w:p w:rsidR="001531E1" w:rsidRPr="0010477E" w:rsidRDefault="002F7A7B" w:rsidP="00B04AE7">
            <w:pPr>
              <w:jc w:val="right"/>
              <w:rPr>
                <w:b/>
                <w:sz w:val="24"/>
                <w:szCs w:val="24"/>
              </w:rPr>
            </w:pPr>
            <w:r>
              <w:rPr>
                <w:b/>
                <w:sz w:val="24"/>
                <w:szCs w:val="24"/>
              </w:rPr>
              <w:t>3</w:t>
            </w:r>
          </w:p>
        </w:tc>
      </w:tr>
      <w:tr w:rsidR="001531E1" w:rsidRPr="0010477E" w:rsidTr="00590041">
        <w:tc>
          <w:tcPr>
            <w:tcW w:w="2664" w:type="dxa"/>
            <w:tcBorders>
              <w:top w:val="nil"/>
              <w:left w:val="single" w:sz="18" w:space="0" w:color="auto"/>
              <w:bottom w:val="single" w:sz="18" w:space="0" w:color="auto"/>
              <w:right w:val="single" w:sz="18" w:space="0" w:color="auto"/>
            </w:tcBorders>
            <w:shd w:val="clear" w:color="auto" w:fill="FFF2CC" w:themeFill="accent4" w:themeFillTint="33"/>
          </w:tcPr>
          <w:p w:rsidR="001531E1" w:rsidRPr="0010477E" w:rsidRDefault="001531E1" w:rsidP="00B04AE7">
            <w:pPr>
              <w:jc w:val="both"/>
              <w:rPr>
                <w:b/>
                <w:sz w:val="24"/>
                <w:szCs w:val="24"/>
              </w:rPr>
            </w:pPr>
            <w:r w:rsidRPr="0010477E">
              <w:rPr>
                <w:b/>
                <w:sz w:val="24"/>
                <w:szCs w:val="24"/>
              </w:rPr>
              <w:t>Escritos</w:t>
            </w:r>
          </w:p>
        </w:tc>
        <w:tc>
          <w:tcPr>
            <w:tcW w:w="567" w:type="dxa"/>
            <w:tcBorders>
              <w:top w:val="nil"/>
              <w:left w:val="single" w:sz="18" w:space="0" w:color="auto"/>
              <w:bottom w:val="single" w:sz="18" w:space="0" w:color="auto"/>
              <w:right w:val="single" w:sz="18" w:space="0" w:color="auto"/>
            </w:tcBorders>
            <w:shd w:val="clear" w:color="auto" w:fill="FFF2CC" w:themeFill="accent4" w:themeFillTint="33"/>
          </w:tcPr>
          <w:p w:rsidR="001531E1" w:rsidRPr="0010477E" w:rsidRDefault="002F7A7B" w:rsidP="00B04AE7">
            <w:pPr>
              <w:jc w:val="right"/>
              <w:rPr>
                <w:b/>
                <w:sz w:val="24"/>
                <w:szCs w:val="24"/>
              </w:rPr>
            </w:pPr>
            <w:r>
              <w:rPr>
                <w:b/>
                <w:sz w:val="24"/>
                <w:szCs w:val="24"/>
              </w:rPr>
              <w:t>7</w:t>
            </w:r>
          </w:p>
        </w:tc>
      </w:tr>
      <w:tr w:rsidR="001531E1" w:rsidRPr="0010477E" w:rsidTr="00590041">
        <w:tc>
          <w:tcPr>
            <w:tcW w:w="2664" w:type="dxa"/>
            <w:tcBorders>
              <w:top w:val="single" w:sz="18" w:space="0" w:color="auto"/>
              <w:left w:val="single" w:sz="18" w:space="0" w:color="auto"/>
              <w:bottom w:val="nil"/>
              <w:right w:val="single" w:sz="18" w:space="0" w:color="auto"/>
            </w:tcBorders>
            <w:shd w:val="clear" w:color="auto" w:fill="E2EFD9" w:themeFill="accent6" w:themeFillTint="33"/>
          </w:tcPr>
          <w:p w:rsidR="001531E1" w:rsidRPr="0010477E" w:rsidRDefault="001531E1" w:rsidP="00B04AE7">
            <w:pPr>
              <w:jc w:val="both"/>
              <w:rPr>
                <w:b/>
                <w:sz w:val="24"/>
                <w:szCs w:val="24"/>
              </w:rPr>
            </w:pPr>
            <w:r w:rsidRPr="0010477E">
              <w:rPr>
                <w:b/>
                <w:sz w:val="24"/>
                <w:szCs w:val="24"/>
              </w:rPr>
              <w:t>Mujeres</w:t>
            </w:r>
          </w:p>
        </w:tc>
        <w:tc>
          <w:tcPr>
            <w:tcW w:w="567" w:type="dxa"/>
            <w:tcBorders>
              <w:top w:val="single" w:sz="18" w:space="0" w:color="auto"/>
              <w:left w:val="single" w:sz="18" w:space="0" w:color="auto"/>
              <w:bottom w:val="nil"/>
              <w:right w:val="single" w:sz="18" w:space="0" w:color="auto"/>
            </w:tcBorders>
            <w:shd w:val="clear" w:color="auto" w:fill="E2EFD9" w:themeFill="accent6" w:themeFillTint="33"/>
          </w:tcPr>
          <w:p w:rsidR="001531E1" w:rsidRPr="0010477E" w:rsidRDefault="002F7A7B" w:rsidP="00B04AE7">
            <w:pPr>
              <w:jc w:val="right"/>
              <w:rPr>
                <w:b/>
                <w:sz w:val="24"/>
                <w:szCs w:val="24"/>
              </w:rPr>
            </w:pPr>
            <w:r>
              <w:rPr>
                <w:b/>
                <w:sz w:val="24"/>
                <w:szCs w:val="24"/>
              </w:rPr>
              <w:t>4</w:t>
            </w:r>
          </w:p>
        </w:tc>
      </w:tr>
      <w:tr w:rsidR="001531E1" w:rsidRPr="0010477E" w:rsidTr="002F7A7B">
        <w:tc>
          <w:tcPr>
            <w:tcW w:w="2664" w:type="dxa"/>
            <w:tcBorders>
              <w:top w:val="nil"/>
              <w:left w:val="single" w:sz="18" w:space="0" w:color="auto"/>
              <w:bottom w:val="single" w:sz="18" w:space="0" w:color="auto"/>
              <w:right w:val="single" w:sz="18" w:space="0" w:color="auto"/>
            </w:tcBorders>
            <w:shd w:val="clear" w:color="auto" w:fill="E2EFD9" w:themeFill="accent6" w:themeFillTint="33"/>
          </w:tcPr>
          <w:p w:rsidR="001531E1" w:rsidRPr="0010477E" w:rsidRDefault="001531E1" w:rsidP="00B04AE7">
            <w:pPr>
              <w:jc w:val="both"/>
              <w:rPr>
                <w:b/>
                <w:sz w:val="24"/>
                <w:szCs w:val="24"/>
              </w:rPr>
            </w:pPr>
            <w:r w:rsidRPr="0010477E">
              <w:rPr>
                <w:b/>
                <w:sz w:val="24"/>
                <w:szCs w:val="24"/>
              </w:rPr>
              <w:t>Hombres</w:t>
            </w:r>
          </w:p>
        </w:tc>
        <w:tc>
          <w:tcPr>
            <w:tcW w:w="567" w:type="dxa"/>
            <w:tcBorders>
              <w:top w:val="nil"/>
              <w:left w:val="single" w:sz="18" w:space="0" w:color="auto"/>
              <w:bottom w:val="single" w:sz="18" w:space="0" w:color="auto"/>
              <w:right w:val="single" w:sz="18" w:space="0" w:color="auto"/>
            </w:tcBorders>
            <w:shd w:val="clear" w:color="auto" w:fill="E2EFD9" w:themeFill="accent6" w:themeFillTint="33"/>
          </w:tcPr>
          <w:p w:rsidR="001531E1" w:rsidRPr="0010477E" w:rsidRDefault="002F7A7B" w:rsidP="00B04AE7">
            <w:pPr>
              <w:jc w:val="right"/>
              <w:rPr>
                <w:b/>
                <w:sz w:val="24"/>
                <w:szCs w:val="24"/>
              </w:rPr>
            </w:pPr>
            <w:r>
              <w:rPr>
                <w:b/>
                <w:sz w:val="24"/>
                <w:szCs w:val="24"/>
              </w:rPr>
              <w:t>6</w:t>
            </w:r>
          </w:p>
        </w:tc>
      </w:tr>
    </w:tbl>
    <w:p w:rsidR="00807F1C" w:rsidRDefault="00807F1C" w:rsidP="00B04AE7">
      <w:pPr>
        <w:spacing w:after="0" w:line="240" w:lineRule="auto"/>
        <w:jc w:val="both"/>
      </w:pPr>
    </w:p>
    <w:sectPr w:rsidR="00807F1C">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06D3" w:rsidRDefault="003A06D3" w:rsidP="001531E1">
      <w:pPr>
        <w:spacing w:after="0" w:line="240" w:lineRule="auto"/>
      </w:pPr>
      <w:r>
        <w:separator/>
      </w:r>
    </w:p>
  </w:endnote>
  <w:endnote w:type="continuationSeparator" w:id="0">
    <w:p w:rsidR="003A06D3" w:rsidRDefault="003A06D3" w:rsidP="00153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6ED" w:rsidRDefault="00D356E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6ED" w:rsidRDefault="00D356E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6ED" w:rsidRDefault="00D356E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06D3" w:rsidRDefault="003A06D3" w:rsidP="001531E1">
      <w:pPr>
        <w:spacing w:after="0" w:line="240" w:lineRule="auto"/>
      </w:pPr>
      <w:r>
        <w:separator/>
      </w:r>
    </w:p>
  </w:footnote>
  <w:footnote w:type="continuationSeparator" w:id="0">
    <w:p w:rsidR="003A06D3" w:rsidRDefault="003A06D3" w:rsidP="001531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6ED" w:rsidRDefault="00D356E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1E1" w:rsidRDefault="001531E1" w:rsidP="001531E1">
    <w:pPr>
      <w:spacing w:line="240" w:lineRule="auto"/>
      <w:jc w:val="center"/>
      <w:rPr>
        <w:b/>
        <w:sz w:val="28"/>
      </w:rPr>
    </w:pPr>
    <w:r w:rsidRPr="00F90B1D">
      <w:rPr>
        <w:b/>
        <w:sz w:val="28"/>
      </w:rPr>
      <w:t xml:space="preserve">Rendición de Cuentas </w:t>
    </w:r>
    <w:r>
      <w:rPr>
        <w:b/>
        <w:sz w:val="28"/>
      </w:rPr>
      <w:t xml:space="preserve">de la Defensoría del Consumidor en San </w:t>
    </w:r>
    <w:r w:rsidR="00682F40">
      <w:rPr>
        <w:b/>
        <w:sz w:val="28"/>
      </w:rPr>
      <w:t>Miguel</w:t>
    </w:r>
  </w:p>
  <w:p w:rsidR="001531E1" w:rsidRDefault="00D7459F" w:rsidP="001531E1">
    <w:pPr>
      <w:spacing w:line="240" w:lineRule="auto"/>
      <w:jc w:val="center"/>
      <w:rPr>
        <w:b/>
        <w:sz w:val="28"/>
      </w:rPr>
    </w:pPr>
    <w:r>
      <w:rPr>
        <w:b/>
        <w:sz w:val="28"/>
      </w:rPr>
      <w:t>Espacio de Participación c</w:t>
    </w:r>
    <w:r w:rsidR="001531E1">
      <w:rPr>
        <w:b/>
        <w:sz w:val="28"/>
      </w:rPr>
      <w:t>iudadana</w:t>
    </w:r>
  </w:p>
  <w:p w:rsidR="001531E1" w:rsidRDefault="00682F40" w:rsidP="001531E1">
    <w:pPr>
      <w:spacing w:line="240" w:lineRule="auto"/>
      <w:jc w:val="right"/>
      <w:rPr>
        <w:b/>
      </w:rPr>
    </w:pPr>
    <w:r>
      <w:rPr>
        <w:b/>
      </w:rPr>
      <w:t>Fecha: 20</w:t>
    </w:r>
    <w:r w:rsidR="001531E1">
      <w:rPr>
        <w:b/>
      </w:rPr>
      <w:t xml:space="preserve"> de jul</w:t>
    </w:r>
    <w:r w:rsidR="00D356ED">
      <w:rPr>
        <w:b/>
      </w:rPr>
      <w:t>io de 2018</w:t>
    </w:r>
    <w:r w:rsidR="001531E1" w:rsidRPr="00427499">
      <w:rPr>
        <w:b/>
      </w:rPr>
      <w: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6ED" w:rsidRDefault="00D356E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65ABD"/>
    <w:multiLevelType w:val="hybridMultilevel"/>
    <w:tmpl w:val="4DD2D63C"/>
    <w:lvl w:ilvl="0" w:tplc="DCB0EA90">
      <w:start w:val="7"/>
      <w:numFmt w:val="bullet"/>
      <w:lvlText w:val="-"/>
      <w:lvlJc w:val="left"/>
      <w:pPr>
        <w:ind w:left="720" w:hanging="360"/>
      </w:pPr>
      <w:rPr>
        <w:rFonts w:ascii="Calibri" w:eastAsiaTheme="minorHAnsi" w:hAnsi="Calibri" w:cs="Calibri" w:hint="default"/>
        <w:b w:val="0"/>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15:restartNumberingAfterBreak="0">
    <w:nsid w:val="6AEE0136"/>
    <w:multiLevelType w:val="hybridMultilevel"/>
    <w:tmpl w:val="D2F46378"/>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F1C"/>
    <w:rsid w:val="000B6B66"/>
    <w:rsid w:val="000F2CC9"/>
    <w:rsid w:val="001018BB"/>
    <w:rsid w:val="001531E1"/>
    <w:rsid w:val="00166A07"/>
    <w:rsid w:val="00183A1D"/>
    <w:rsid w:val="001D2FCE"/>
    <w:rsid w:val="001D5B57"/>
    <w:rsid w:val="001E1464"/>
    <w:rsid w:val="00251B29"/>
    <w:rsid w:val="00287F94"/>
    <w:rsid w:val="00290037"/>
    <w:rsid w:val="002F7A7B"/>
    <w:rsid w:val="00321E0E"/>
    <w:rsid w:val="003A06D3"/>
    <w:rsid w:val="004530AC"/>
    <w:rsid w:val="00460B1F"/>
    <w:rsid w:val="004D7290"/>
    <w:rsid w:val="00577C5A"/>
    <w:rsid w:val="005876D5"/>
    <w:rsid w:val="0059246E"/>
    <w:rsid w:val="00592E7E"/>
    <w:rsid w:val="00600240"/>
    <w:rsid w:val="00606AA4"/>
    <w:rsid w:val="006138D2"/>
    <w:rsid w:val="00616153"/>
    <w:rsid w:val="006221F6"/>
    <w:rsid w:val="00624300"/>
    <w:rsid w:val="00680A25"/>
    <w:rsid w:val="00682F40"/>
    <w:rsid w:val="0069091C"/>
    <w:rsid w:val="006F76B4"/>
    <w:rsid w:val="00711E03"/>
    <w:rsid w:val="007252BA"/>
    <w:rsid w:val="00802008"/>
    <w:rsid w:val="00807F1C"/>
    <w:rsid w:val="008216FE"/>
    <w:rsid w:val="00857289"/>
    <w:rsid w:val="008C41A2"/>
    <w:rsid w:val="008F7E69"/>
    <w:rsid w:val="00946E32"/>
    <w:rsid w:val="0094722F"/>
    <w:rsid w:val="009509D2"/>
    <w:rsid w:val="009B077F"/>
    <w:rsid w:val="009E585E"/>
    <w:rsid w:val="009E675A"/>
    <w:rsid w:val="00A00472"/>
    <w:rsid w:val="00A319B0"/>
    <w:rsid w:val="00AB617F"/>
    <w:rsid w:val="00B04AE7"/>
    <w:rsid w:val="00B1231A"/>
    <w:rsid w:val="00B22ADE"/>
    <w:rsid w:val="00B36573"/>
    <w:rsid w:val="00B548D7"/>
    <w:rsid w:val="00B71962"/>
    <w:rsid w:val="00BF0BC9"/>
    <w:rsid w:val="00C55218"/>
    <w:rsid w:val="00C56A41"/>
    <w:rsid w:val="00CF09E0"/>
    <w:rsid w:val="00D21831"/>
    <w:rsid w:val="00D356ED"/>
    <w:rsid w:val="00D7459F"/>
    <w:rsid w:val="00E0751D"/>
    <w:rsid w:val="00E37F20"/>
    <w:rsid w:val="00E435F4"/>
    <w:rsid w:val="00E5319B"/>
    <w:rsid w:val="00E64713"/>
    <w:rsid w:val="00EE1ED3"/>
    <w:rsid w:val="00EF401C"/>
    <w:rsid w:val="00FA157D"/>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E0C58A-8BBB-4420-96D7-EA4A5A5B2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21E0E"/>
    <w:pPr>
      <w:ind w:left="720"/>
      <w:contextualSpacing/>
    </w:pPr>
  </w:style>
  <w:style w:type="character" w:styleId="Hipervnculo">
    <w:name w:val="Hyperlink"/>
    <w:basedOn w:val="Fuentedeprrafopredeter"/>
    <w:uiPriority w:val="99"/>
    <w:unhideWhenUsed/>
    <w:rsid w:val="00EF401C"/>
    <w:rPr>
      <w:color w:val="0563C1" w:themeColor="hyperlink"/>
      <w:u w:val="single"/>
    </w:rPr>
  </w:style>
  <w:style w:type="paragraph" w:styleId="Encabezado">
    <w:name w:val="header"/>
    <w:basedOn w:val="Normal"/>
    <w:link w:val="EncabezadoCar"/>
    <w:uiPriority w:val="99"/>
    <w:unhideWhenUsed/>
    <w:rsid w:val="001531E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531E1"/>
  </w:style>
  <w:style w:type="paragraph" w:styleId="Piedepgina">
    <w:name w:val="footer"/>
    <w:basedOn w:val="Normal"/>
    <w:link w:val="PiedepginaCar"/>
    <w:uiPriority w:val="99"/>
    <w:unhideWhenUsed/>
    <w:rsid w:val="001531E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531E1"/>
  </w:style>
  <w:style w:type="table" w:styleId="Tablaconcuadrcula">
    <w:name w:val="Table Grid"/>
    <w:basedOn w:val="Tablanormal"/>
    <w:uiPriority w:val="39"/>
    <w:rsid w:val="00153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8F7E6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F7E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520</TotalTime>
  <Pages>4</Pages>
  <Words>1389</Words>
  <Characters>7640</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2018-08-22T19:24:00Z</cp:lastPrinted>
  <dcterms:created xsi:type="dcterms:W3CDTF">2018-07-25T17:12:00Z</dcterms:created>
  <dcterms:modified xsi:type="dcterms:W3CDTF">2018-08-22T19:24:00Z</dcterms:modified>
</cp:coreProperties>
</file>